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2A28" w14:textId="661DC7E0" w:rsidR="00682CE8" w:rsidRPr="00142AAC"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Điều 136, 137 Luật Doanh nghiệp 2014. Trước hết, công ty cần tiến hành cuộc họp HĐQT hoặc ĐHCĐ để thông qua quyết định về việc phá sản. Quyết định này cần được đảm bảo đã quảng bá, thông báo rộng rãi cho tất cả các cổ đông, chủ nợ và liên quan đến công ty. Quyết định này cần được đảm bảo đã quảng bá, thông báo rộng rãi cho tất cả các cổ đông, chủ nợ và liên quan đến công ty có liên quan đến tài sang đang nợ.</w:t>
      </w:r>
    </w:p>
    <w:p w14:paraId="75ED302C" w14:textId="77777777" w:rsidR="00682CE8" w:rsidRPr="00142AAC" w:rsidRDefault="00682CE8" w:rsidP="00682CE8">
      <w:pPr>
        <w:tabs>
          <w:tab w:val="left" w:pos="3345"/>
        </w:tabs>
        <w:rPr>
          <w:rFonts w:ascii="Segoe UI" w:hAnsi="Segoe UI" w:cs="Segoe UI"/>
          <w:color w:val="1C1917"/>
          <w:sz w:val="28"/>
          <w:szCs w:val="28"/>
          <w:shd w:val="clear" w:color="auto" w:fill="FFFFFF"/>
        </w:rPr>
      </w:pPr>
    </w:p>
    <w:p w14:paraId="275DFA8D" w14:textId="1BCC6FB7" w:rsidR="00682CE8" w:rsidRPr="00142AAC"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 xml:space="preserve">Điều </w:t>
      </w:r>
      <w:r w:rsidRPr="00142AAC">
        <w:rPr>
          <w:rFonts w:ascii="Segoe UI" w:hAnsi="Segoe UI" w:cs="Segoe UI"/>
          <w:color w:val="1C1917"/>
          <w:sz w:val="28"/>
          <w:szCs w:val="28"/>
          <w:shd w:val="clear" w:color="auto" w:fill="FFFFFF"/>
        </w:rPr>
        <w:t>217 Luật Doanh nghiệp 2014) Công ty nộp đơn đề nghị phá sản tới Tòa án kèm theo các tài liệu về tình hình tài chính và danh sách chủ nợ.</w:t>
      </w:r>
    </w:p>
    <w:p w14:paraId="5B61C2B8" w14:textId="77777777" w:rsidR="00682CE8" w:rsidRPr="00142AAC" w:rsidRDefault="00682CE8" w:rsidP="00682CE8">
      <w:pPr>
        <w:tabs>
          <w:tab w:val="left" w:pos="3345"/>
        </w:tabs>
        <w:rPr>
          <w:rFonts w:ascii="Segoe UI" w:hAnsi="Segoe UI" w:cs="Segoe UI"/>
          <w:color w:val="1C1917"/>
          <w:sz w:val="28"/>
          <w:szCs w:val="28"/>
          <w:shd w:val="clear" w:color="auto" w:fill="FFFFFF"/>
        </w:rPr>
      </w:pPr>
    </w:p>
    <w:p w14:paraId="25807610" w14:textId="77777777" w:rsidR="00682CE8" w:rsidRPr="00142AAC"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Điều 218 Luật Doanh nghiệp 2014 Tòa án xem xét, kiểm tra tính hợp lệ và các điều kiện phá sản của đơn</w:t>
      </w:r>
      <w:r w:rsidRPr="00142AAC">
        <w:rPr>
          <w:rFonts w:ascii="Segoe UI" w:hAnsi="Segoe UI" w:cs="Segoe UI"/>
          <w:color w:val="1C1917"/>
          <w:sz w:val="28"/>
          <w:szCs w:val="28"/>
          <w:shd w:val="clear" w:color="auto" w:fill="FFFFFF"/>
        </w:rPr>
        <w:t xml:space="preserve"> </w:t>
      </w:r>
      <w:r w:rsidRPr="00142AAC">
        <w:rPr>
          <w:rFonts w:ascii="Segoe UI" w:hAnsi="Segoe UI" w:cs="Segoe UI"/>
          <w:color w:val="1C1917"/>
          <w:sz w:val="27"/>
          <w:szCs w:val="27"/>
          <w:shd w:val="clear" w:color="auto" w:fill="FFFFFF"/>
        </w:rPr>
        <w:t>n</w:t>
      </w:r>
      <w:r w:rsidRPr="00142AAC">
        <w:rPr>
          <w:rFonts w:ascii="Segoe UI" w:hAnsi="Segoe UI" w:cs="Segoe UI"/>
          <w:color w:val="1C1917"/>
          <w:sz w:val="27"/>
          <w:szCs w:val="27"/>
          <w:shd w:val="clear" w:color="auto" w:fill="FFFFFF"/>
        </w:rPr>
        <w:t>ếu không có đủ căn cứ, Tòa án sẽ ra quyết định không chấp nhận mở thủ tục phá sản.</w:t>
      </w:r>
      <w:r w:rsidRPr="00142AAC">
        <w:rPr>
          <w:rFonts w:ascii="Segoe UI" w:hAnsi="Segoe UI" w:cs="Segoe UI"/>
          <w:color w:val="1C1917"/>
          <w:sz w:val="28"/>
          <w:szCs w:val="28"/>
          <w:shd w:val="clear" w:color="auto" w:fill="FFFFFF"/>
        </w:rPr>
        <w:t xml:space="preserve"> </w:t>
      </w:r>
    </w:p>
    <w:p w14:paraId="50780255" w14:textId="1E930FF5" w:rsidR="00682CE8" w:rsidRPr="00142AAC" w:rsidRDefault="00682CE8" w:rsidP="00142AAC">
      <w:pPr>
        <w:pStyle w:val="ListParagraph"/>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N</w:t>
      </w:r>
      <w:r w:rsidRPr="00142AAC">
        <w:rPr>
          <w:rFonts w:ascii="Segoe UI" w:hAnsi="Segoe UI" w:cs="Segoe UI"/>
          <w:color w:val="1C1917"/>
          <w:sz w:val="28"/>
          <w:szCs w:val="28"/>
          <w:shd w:val="clear" w:color="auto" w:fill="FFFFFF"/>
        </w:rPr>
        <w:t xml:space="preserve">ếu có đủ căn </w:t>
      </w:r>
      <w:r w:rsidRPr="00142AAC">
        <w:rPr>
          <w:rFonts w:ascii="Segoe UI" w:hAnsi="Segoe UI" w:cs="Segoe UI"/>
          <w:color w:val="1C1917"/>
          <w:sz w:val="28"/>
          <w:szCs w:val="28"/>
          <w:shd w:val="clear" w:color="auto" w:fill="FFFFFF"/>
        </w:rPr>
        <w:t>cứ:</w:t>
      </w:r>
    </w:p>
    <w:p w14:paraId="26FE4987" w14:textId="77777777" w:rsidR="00682CE8" w:rsidRPr="00142AAC" w:rsidRDefault="00682CE8" w:rsidP="00682CE8">
      <w:pPr>
        <w:tabs>
          <w:tab w:val="left" w:pos="3345"/>
        </w:tabs>
        <w:rPr>
          <w:rFonts w:ascii="Segoe UI" w:hAnsi="Segoe UI" w:cs="Segoe UI"/>
          <w:color w:val="1C1917"/>
          <w:sz w:val="28"/>
          <w:szCs w:val="28"/>
          <w:shd w:val="clear" w:color="auto" w:fill="FFFFFF"/>
        </w:rPr>
      </w:pPr>
    </w:p>
    <w:p w14:paraId="045780EF" w14:textId="14B1E1F1" w:rsidR="00682CE8"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 xml:space="preserve">Tại Điều </w:t>
      </w:r>
      <w:r w:rsidRPr="00142AAC">
        <w:rPr>
          <w:rFonts w:ascii="Segoe UI" w:hAnsi="Segoe UI" w:cs="Segoe UI"/>
          <w:color w:val="1C1917"/>
          <w:sz w:val="28"/>
          <w:szCs w:val="28"/>
          <w:shd w:val="clear" w:color="auto" w:fill="FFFFFF"/>
        </w:rPr>
        <w:t>221 Luật Doanh nghiệp 2014). Nếu đủ điều kiện, Tòa án</w:t>
      </w:r>
      <w:r w:rsidRPr="00142AAC">
        <w:rPr>
          <w:rFonts w:ascii="Segoe UI" w:hAnsi="Segoe UI" w:cs="Segoe UI"/>
          <w:color w:val="1C1917"/>
          <w:sz w:val="28"/>
          <w:szCs w:val="28"/>
          <w:shd w:val="clear" w:color="auto" w:fill="FFFFFF"/>
        </w:rPr>
        <w:t xml:space="preserve"> sẽ</w:t>
      </w:r>
      <w:r w:rsidRPr="00142AAC">
        <w:rPr>
          <w:rFonts w:ascii="Segoe UI" w:hAnsi="Segoe UI" w:cs="Segoe UI"/>
          <w:color w:val="1C1917"/>
          <w:sz w:val="28"/>
          <w:szCs w:val="28"/>
          <w:shd w:val="clear" w:color="auto" w:fill="FFFFFF"/>
        </w:rPr>
        <w:t xml:space="preserve"> ra quyết định tuyên bố phá sản và chỉ định người quản lý phá sản ở đây cụ thể là Công ty cổ phần Mai Long.</w:t>
      </w:r>
    </w:p>
    <w:p w14:paraId="50D0D3C7" w14:textId="77777777" w:rsidR="00142AAC" w:rsidRPr="00142AAC" w:rsidRDefault="00142AAC" w:rsidP="00142AAC">
      <w:pPr>
        <w:pStyle w:val="ListParagraph"/>
        <w:tabs>
          <w:tab w:val="left" w:pos="3345"/>
        </w:tabs>
        <w:rPr>
          <w:rFonts w:ascii="Segoe UI" w:hAnsi="Segoe UI" w:cs="Segoe UI"/>
          <w:color w:val="1C1917"/>
          <w:sz w:val="28"/>
          <w:szCs w:val="28"/>
          <w:shd w:val="clear" w:color="auto" w:fill="FFFFFF"/>
        </w:rPr>
      </w:pPr>
    </w:p>
    <w:p w14:paraId="2BFA0FD7" w14:textId="0735A94E" w:rsidR="00682CE8" w:rsidRPr="00142AAC"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Điều 41, 42 Luật Phá sản 2014 Người quản lý phá sản có trách nhiệm bán tài sản công ty để thanh toán các khoản nợ theo thứ tự ưu tiên (trong đó lương công nhân là ưu tiên hàng đầu. )</w:t>
      </w:r>
    </w:p>
    <w:p w14:paraId="333E7BBB" w14:textId="77777777" w:rsidR="00682CE8" w:rsidRPr="00142AAC" w:rsidRDefault="00682CE8" w:rsidP="00682CE8">
      <w:pPr>
        <w:tabs>
          <w:tab w:val="left" w:pos="3345"/>
        </w:tabs>
        <w:rPr>
          <w:rFonts w:ascii="Segoe UI" w:hAnsi="Segoe UI" w:cs="Segoe UI"/>
          <w:color w:val="1C1917"/>
          <w:sz w:val="28"/>
          <w:szCs w:val="28"/>
          <w:shd w:val="clear" w:color="auto" w:fill="FFFFFF"/>
        </w:rPr>
      </w:pPr>
    </w:p>
    <w:p w14:paraId="7F1D797D" w14:textId="76595D65" w:rsidR="00682CE8" w:rsidRPr="00142AAC"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t>Điều 43, 44 Luật Phá sản 2014 các khoản nợ được thanh toán theo quy định pháp luật. Nếu tài sản không đủ để thanh toán hết nợ thì chủ nợ có thể chỉ nhận một phần trên tổng số nợ</w:t>
      </w:r>
    </w:p>
    <w:p w14:paraId="28CAB855" w14:textId="77777777" w:rsidR="00682CE8" w:rsidRPr="00142AAC" w:rsidRDefault="00682CE8" w:rsidP="00682CE8">
      <w:pPr>
        <w:tabs>
          <w:tab w:val="left" w:pos="3345"/>
        </w:tabs>
        <w:rPr>
          <w:rFonts w:ascii="Segoe UI" w:hAnsi="Segoe UI" w:cs="Segoe UI"/>
          <w:color w:val="1C1917"/>
          <w:sz w:val="28"/>
          <w:szCs w:val="28"/>
          <w:shd w:val="clear" w:color="auto" w:fill="FFFFFF"/>
        </w:rPr>
      </w:pPr>
    </w:p>
    <w:p w14:paraId="040E5B8A" w14:textId="39FB4DCC" w:rsidR="00682CE8" w:rsidRPr="00142AAC" w:rsidRDefault="00682CE8" w:rsidP="00142AAC">
      <w:pPr>
        <w:pStyle w:val="ListParagraph"/>
        <w:numPr>
          <w:ilvl w:val="0"/>
          <w:numId w:val="2"/>
        </w:numPr>
        <w:tabs>
          <w:tab w:val="left" w:pos="3345"/>
        </w:tabs>
        <w:rPr>
          <w:rFonts w:ascii="Segoe UI" w:hAnsi="Segoe UI" w:cs="Segoe UI"/>
          <w:color w:val="1C1917"/>
          <w:sz w:val="28"/>
          <w:szCs w:val="28"/>
          <w:shd w:val="clear" w:color="auto" w:fill="FFFFFF"/>
        </w:rPr>
      </w:pPr>
      <w:r w:rsidRPr="00142AAC">
        <w:rPr>
          <w:rFonts w:ascii="Segoe UI" w:hAnsi="Segoe UI" w:cs="Segoe UI"/>
          <w:color w:val="1C1917"/>
          <w:sz w:val="28"/>
          <w:szCs w:val="28"/>
          <w:shd w:val="clear" w:color="auto" w:fill="FFFFFF"/>
        </w:rPr>
        <w:lastRenderedPageBreak/>
        <w:t xml:space="preserve">Điều 55 Luật Phá sản 2014 Sau khi thanh toán xong các khoản nợ, Tòa án ra quyết định kết thúc thủ tục phá sản và giải thể công </w:t>
      </w:r>
      <w:r w:rsidR="00142AAC" w:rsidRPr="00142AAC">
        <w:rPr>
          <w:rFonts w:ascii="Segoe UI" w:hAnsi="Segoe UI" w:cs="Segoe UI"/>
          <w:color w:val="1C1917"/>
          <w:sz w:val="28"/>
          <w:szCs w:val="28"/>
          <w:shd w:val="clear" w:color="auto" w:fill="FFFFFF"/>
        </w:rPr>
        <w:t>ty.</w:t>
      </w:r>
    </w:p>
    <w:p w14:paraId="6E6BBFA7" w14:textId="77777777" w:rsidR="00142AAC" w:rsidRDefault="00142AAC" w:rsidP="00682CE8">
      <w:pPr>
        <w:tabs>
          <w:tab w:val="left" w:pos="3345"/>
        </w:tabs>
        <w:rPr>
          <w:rFonts w:ascii="Segoe UI" w:hAnsi="Segoe UI" w:cs="Segoe UI"/>
          <w:color w:val="1C1917"/>
          <w:sz w:val="28"/>
          <w:szCs w:val="28"/>
          <w:shd w:val="clear" w:color="auto" w:fill="FFFFFF"/>
        </w:rPr>
      </w:pPr>
    </w:p>
    <w:p w14:paraId="595985F8" w14:textId="77777777" w:rsidR="00142AAC" w:rsidRDefault="00142AAC" w:rsidP="00682CE8">
      <w:pPr>
        <w:tabs>
          <w:tab w:val="left" w:pos="3345"/>
        </w:tabs>
        <w:rPr>
          <w:rFonts w:ascii="Segoe UI" w:hAnsi="Segoe UI" w:cs="Segoe UI"/>
          <w:color w:val="1C1917"/>
          <w:sz w:val="28"/>
          <w:szCs w:val="28"/>
          <w:shd w:val="clear" w:color="auto" w:fill="FFFFFF"/>
        </w:rPr>
      </w:pPr>
    </w:p>
    <w:p w14:paraId="63B53612" w14:textId="5F809817" w:rsidR="00142AAC" w:rsidRPr="00142AAC" w:rsidRDefault="00142AAC" w:rsidP="00682CE8">
      <w:pPr>
        <w:tabs>
          <w:tab w:val="left" w:pos="3345"/>
        </w:tabs>
        <w:rPr>
          <w:rFonts w:ascii="Segoe UI" w:hAnsi="Segoe UI" w:cs="Segoe UI"/>
          <w:color w:val="1C1917"/>
          <w:sz w:val="32"/>
          <w:szCs w:val="32"/>
          <w:shd w:val="clear" w:color="auto" w:fill="FFFFFF"/>
        </w:rPr>
      </w:pPr>
      <w:r w:rsidRPr="00142AAC">
        <w:rPr>
          <w:rFonts w:ascii="Segoe UI" w:hAnsi="Segoe UI" w:cs="Segoe UI"/>
          <w:color w:val="1C1917"/>
          <w:sz w:val="32"/>
          <w:szCs w:val="32"/>
          <w:shd w:val="clear" w:color="auto" w:fill="FFFFFF"/>
        </w:rPr>
        <w:t>Như vậy</w:t>
      </w:r>
      <w:r w:rsidRPr="00142AAC">
        <w:rPr>
          <w:rFonts w:ascii="Segoe UI" w:hAnsi="Segoe UI" w:cs="Segoe UI"/>
          <w:color w:val="1C1917"/>
          <w:sz w:val="32"/>
          <w:szCs w:val="32"/>
          <w:shd w:val="clear" w:color="auto" w:fill="FFFFFF"/>
        </w:rPr>
        <w:t xml:space="preserve"> </w:t>
      </w:r>
      <w:r w:rsidRPr="00142AAC">
        <w:rPr>
          <w:sz w:val="32"/>
          <w:szCs w:val="32"/>
          <w:lang w:val="en-US"/>
        </w:rPr>
        <w:t>rằng quá trình phá sản có thể kéo dài và phức tạp, và tất cả các thủ tục phải tuân theo quy định của pháp luật. Để đảm bảo tuân thủ đầy đủ quy định và tối ưu hóa quá trình phá sản,</w:t>
      </w:r>
      <w:r w:rsidRPr="00142AAC">
        <w:rPr>
          <w:sz w:val="32"/>
          <w:szCs w:val="32"/>
        </w:rPr>
        <w:t xml:space="preserve"> </w:t>
      </w:r>
      <w:r w:rsidRPr="00142AAC">
        <w:rPr>
          <w:rFonts w:ascii="Segoe UI" w:hAnsi="Segoe UI" w:cs="Segoe UI"/>
          <w:color w:val="1C1917"/>
          <w:sz w:val="32"/>
          <w:szCs w:val="32"/>
          <w:shd w:val="clear" w:color="auto" w:fill="FFFFFF"/>
        </w:rPr>
        <w:t xml:space="preserve">Tôi tin với kinh nghiệm và kỹ năng của mình thì hoàn toàn có thể đảm nhận tốt </w:t>
      </w:r>
      <w:r w:rsidRPr="00142AAC">
        <w:rPr>
          <w:rFonts w:ascii="Segoe UI" w:hAnsi="Segoe UI" w:cs="Segoe UI"/>
          <w:color w:val="1C1917"/>
          <w:sz w:val="32"/>
          <w:szCs w:val="32"/>
          <w:shd w:val="clear" w:color="auto" w:fill="FFFFFF"/>
        </w:rPr>
        <w:t xml:space="preserve">nhiệm vụ </w:t>
      </w:r>
      <w:r w:rsidRPr="00142AAC">
        <w:rPr>
          <w:rFonts w:ascii="Segoe UI" w:hAnsi="Segoe UI" w:cs="Segoe UI"/>
          <w:color w:val="1C1917"/>
          <w:sz w:val="32"/>
          <w:szCs w:val="32"/>
          <w:shd w:val="clear" w:color="auto" w:fill="FFFFFF"/>
        </w:rPr>
        <w:t>này</w:t>
      </w:r>
    </w:p>
    <w:p w14:paraId="35DA7BA0" w14:textId="77777777" w:rsidR="00682CE8" w:rsidRDefault="00682CE8" w:rsidP="00682CE8">
      <w:pPr>
        <w:tabs>
          <w:tab w:val="left" w:pos="3345"/>
        </w:tabs>
        <w:rPr>
          <w:rFonts w:ascii="Segoe UI" w:hAnsi="Segoe UI" w:cs="Segoe UI"/>
          <w:color w:val="1C1917"/>
          <w:sz w:val="28"/>
          <w:szCs w:val="28"/>
          <w:shd w:val="clear" w:color="auto" w:fill="FFFFFF"/>
        </w:rPr>
      </w:pPr>
    </w:p>
    <w:p w14:paraId="0ABB6648" w14:textId="77777777" w:rsidR="00142AAC" w:rsidRDefault="00142AAC" w:rsidP="00682CE8">
      <w:pPr>
        <w:tabs>
          <w:tab w:val="left" w:pos="3345"/>
        </w:tabs>
        <w:rPr>
          <w:rFonts w:ascii="Segoe UI" w:hAnsi="Segoe UI" w:cs="Segoe UI"/>
          <w:color w:val="1C1917"/>
          <w:sz w:val="28"/>
          <w:szCs w:val="28"/>
          <w:shd w:val="clear" w:color="auto" w:fill="FFFFFF"/>
        </w:rPr>
      </w:pPr>
    </w:p>
    <w:p w14:paraId="51870DB2" w14:textId="0FC9E291" w:rsidR="00142AAC" w:rsidRDefault="00142AAC" w:rsidP="00682CE8">
      <w:pPr>
        <w:tabs>
          <w:tab w:val="left" w:pos="3345"/>
        </w:tabs>
        <w:rPr>
          <w:rFonts w:ascii="Segoe UI" w:hAnsi="Segoe UI" w:cs="Segoe UI"/>
          <w:color w:val="1C1917"/>
          <w:sz w:val="28"/>
          <w:szCs w:val="28"/>
          <w:shd w:val="clear" w:color="auto" w:fill="FFFFFF"/>
        </w:rPr>
      </w:pPr>
      <w:r>
        <w:rPr>
          <w:rFonts w:ascii="Segoe UI" w:hAnsi="Segoe UI" w:cs="Segoe UI"/>
          <w:color w:val="1C1917"/>
          <w:sz w:val="28"/>
          <w:szCs w:val="28"/>
          <w:shd w:val="clear" w:color="auto" w:fill="FFFFFF"/>
        </w:rPr>
        <w:t>Trích dẫn luật:</w:t>
      </w:r>
    </w:p>
    <w:p w14:paraId="241C7CA2" w14:textId="1B0C0FAB" w:rsidR="00142AAC" w:rsidRPr="00682CE8" w:rsidRDefault="00142AAC" w:rsidP="00682CE8">
      <w:pPr>
        <w:tabs>
          <w:tab w:val="left" w:pos="3345"/>
        </w:tabs>
        <w:rPr>
          <w:rFonts w:ascii="Segoe UI" w:hAnsi="Segoe UI" w:cs="Segoe UI"/>
          <w:color w:val="1C1917"/>
          <w:sz w:val="28"/>
          <w:szCs w:val="28"/>
          <w:shd w:val="clear" w:color="auto" w:fill="FFFFFF"/>
        </w:rPr>
      </w:pPr>
      <w:r>
        <w:rPr>
          <w:rFonts w:ascii="Segoe UI" w:hAnsi="Segoe UI" w:cs="Segoe UI"/>
          <w:noProof/>
          <w:color w:val="1C1917"/>
          <w:sz w:val="28"/>
          <w:szCs w:val="28"/>
          <w:shd w:val="clear" w:color="auto" w:fill="FFFFFF"/>
        </w:rPr>
        <w:drawing>
          <wp:inline distT="0" distB="0" distL="0" distR="0" wp14:anchorId="38C1D9B4" wp14:editId="7F4587C6">
            <wp:extent cx="5731510" cy="3657600"/>
            <wp:effectExtent l="0" t="0" r="2540" b="0"/>
            <wp:docPr id="475901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01612" name="Picture 475901612"/>
                    <pic:cNvPicPr/>
                  </pic:nvPicPr>
                  <pic:blipFill>
                    <a:blip r:embed="rId5">
                      <a:extLst>
                        <a:ext uri="{28A0092B-C50C-407E-A947-70E740481C1C}">
                          <a14:useLocalDpi xmlns:a14="http://schemas.microsoft.com/office/drawing/2010/main" val="0"/>
                        </a:ext>
                      </a:extLst>
                    </a:blip>
                    <a:stretch>
                      <a:fillRect/>
                    </a:stretch>
                  </pic:blipFill>
                  <pic:spPr>
                    <a:xfrm>
                      <a:off x="0" y="0"/>
                      <a:ext cx="5731510" cy="3657600"/>
                    </a:xfrm>
                    <a:prstGeom prst="rect">
                      <a:avLst/>
                    </a:prstGeom>
                  </pic:spPr>
                </pic:pic>
              </a:graphicData>
            </a:graphic>
          </wp:inline>
        </w:drawing>
      </w:r>
    </w:p>
    <w:p w14:paraId="19C56F56" w14:textId="77777777" w:rsidR="00682CE8" w:rsidRPr="00682CE8" w:rsidRDefault="00682CE8" w:rsidP="00682CE8">
      <w:pPr>
        <w:tabs>
          <w:tab w:val="left" w:pos="3345"/>
        </w:tabs>
        <w:rPr>
          <w:rFonts w:ascii="Segoe UI" w:hAnsi="Segoe UI" w:cs="Segoe UI"/>
          <w:color w:val="1C1917"/>
          <w:sz w:val="28"/>
          <w:szCs w:val="28"/>
          <w:shd w:val="clear" w:color="auto" w:fill="FFFFFF"/>
        </w:rPr>
      </w:pPr>
    </w:p>
    <w:p w14:paraId="04673153" w14:textId="4C4F2B6D" w:rsidR="00682CE8" w:rsidRDefault="00F83652" w:rsidP="00682CE8">
      <w:pPr>
        <w:tabs>
          <w:tab w:val="left" w:pos="3345"/>
        </w:tabs>
        <w:rPr>
          <w:sz w:val="28"/>
          <w:szCs w:val="28"/>
        </w:rPr>
      </w:pPr>
      <w:r>
        <w:rPr>
          <w:noProof/>
          <w:sz w:val="28"/>
          <w:szCs w:val="28"/>
        </w:rPr>
        <w:lastRenderedPageBreak/>
        <w:drawing>
          <wp:inline distT="0" distB="0" distL="0" distR="0" wp14:anchorId="1441DFE6" wp14:editId="3280ED1D">
            <wp:extent cx="5731510" cy="3272155"/>
            <wp:effectExtent l="0" t="0" r="2540" b="4445"/>
            <wp:docPr id="219058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58058" name="Picture 219058058"/>
                    <pic:cNvPicPr/>
                  </pic:nvPicPr>
                  <pic:blipFill>
                    <a:blip r:embed="rId6">
                      <a:extLst>
                        <a:ext uri="{28A0092B-C50C-407E-A947-70E740481C1C}">
                          <a14:useLocalDpi xmlns:a14="http://schemas.microsoft.com/office/drawing/2010/main" val="0"/>
                        </a:ext>
                      </a:extLst>
                    </a:blip>
                    <a:stretch>
                      <a:fillRect/>
                    </a:stretch>
                  </pic:blipFill>
                  <pic:spPr>
                    <a:xfrm>
                      <a:off x="0" y="0"/>
                      <a:ext cx="5731510" cy="3272155"/>
                    </a:xfrm>
                    <a:prstGeom prst="rect">
                      <a:avLst/>
                    </a:prstGeom>
                  </pic:spPr>
                </pic:pic>
              </a:graphicData>
            </a:graphic>
          </wp:inline>
        </w:drawing>
      </w:r>
    </w:p>
    <w:p w14:paraId="33193FC2" w14:textId="6996796B" w:rsidR="00F83652" w:rsidRDefault="00F83652" w:rsidP="00682CE8">
      <w:pPr>
        <w:tabs>
          <w:tab w:val="left" w:pos="3345"/>
        </w:tabs>
        <w:rPr>
          <w:sz w:val="28"/>
          <w:szCs w:val="28"/>
        </w:rPr>
      </w:pPr>
      <w:r>
        <w:rPr>
          <w:noProof/>
          <w:sz w:val="28"/>
          <w:szCs w:val="28"/>
        </w:rPr>
        <w:drawing>
          <wp:inline distT="0" distB="0" distL="0" distR="0" wp14:anchorId="4CBCF695" wp14:editId="4DE5404F">
            <wp:extent cx="5731510" cy="3279775"/>
            <wp:effectExtent l="0" t="0" r="2540" b="0"/>
            <wp:docPr id="1203862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62268" name="Picture 1203862268"/>
                    <pic:cNvPicPr/>
                  </pic:nvPicPr>
                  <pic:blipFill>
                    <a:blip r:embed="rId7">
                      <a:extLst>
                        <a:ext uri="{28A0092B-C50C-407E-A947-70E740481C1C}">
                          <a14:useLocalDpi xmlns:a14="http://schemas.microsoft.com/office/drawing/2010/main" val="0"/>
                        </a:ext>
                      </a:extLst>
                    </a:blip>
                    <a:stretch>
                      <a:fillRect/>
                    </a:stretch>
                  </pic:blipFill>
                  <pic:spPr>
                    <a:xfrm>
                      <a:off x="0" y="0"/>
                      <a:ext cx="5731510" cy="3279775"/>
                    </a:xfrm>
                    <a:prstGeom prst="rect">
                      <a:avLst/>
                    </a:prstGeom>
                  </pic:spPr>
                </pic:pic>
              </a:graphicData>
            </a:graphic>
          </wp:inline>
        </w:drawing>
      </w:r>
    </w:p>
    <w:p w14:paraId="487B470B" w14:textId="577A9C24" w:rsidR="00F83652" w:rsidRDefault="00F83652" w:rsidP="00682CE8">
      <w:pPr>
        <w:tabs>
          <w:tab w:val="left" w:pos="3345"/>
        </w:tabs>
        <w:rPr>
          <w:sz w:val="28"/>
          <w:szCs w:val="28"/>
        </w:rPr>
      </w:pPr>
      <w:r>
        <w:rPr>
          <w:noProof/>
          <w:sz w:val="28"/>
          <w:szCs w:val="28"/>
        </w:rPr>
        <w:lastRenderedPageBreak/>
        <w:drawing>
          <wp:inline distT="0" distB="0" distL="0" distR="0" wp14:anchorId="15C4E6B9" wp14:editId="084D88E5">
            <wp:extent cx="5731510" cy="3331845"/>
            <wp:effectExtent l="0" t="0" r="2540" b="1905"/>
            <wp:docPr id="8430480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48071" name="Picture 843048071"/>
                    <pic:cNvPicPr/>
                  </pic:nvPicPr>
                  <pic:blipFill>
                    <a:blip r:embed="rId8">
                      <a:extLst>
                        <a:ext uri="{28A0092B-C50C-407E-A947-70E740481C1C}">
                          <a14:useLocalDpi xmlns:a14="http://schemas.microsoft.com/office/drawing/2010/main" val="0"/>
                        </a:ext>
                      </a:extLst>
                    </a:blip>
                    <a:stretch>
                      <a:fillRect/>
                    </a:stretch>
                  </pic:blipFill>
                  <pic:spPr>
                    <a:xfrm>
                      <a:off x="0" y="0"/>
                      <a:ext cx="5731510" cy="3331845"/>
                    </a:xfrm>
                    <a:prstGeom prst="rect">
                      <a:avLst/>
                    </a:prstGeom>
                  </pic:spPr>
                </pic:pic>
              </a:graphicData>
            </a:graphic>
          </wp:inline>
        </w:drawing>
      </w:r>
    </w:p>
    <w:p w14:paraId="2E79E08C" w14:textId="1179858B" w:rsidR="00F83652" w:rsidRPr="00682CE8" w:rsidRDefault="00F83652" w:rsidP="00682CE8">
      <w:pPr>
        <w:tabs>
          <w:tab w:val="left" w:pos="3345"/>
        </w:tabs>
        <w:rPr>
          <w:sz w:val="28"/>
          <w:szCs w:val="28"/>
        </w:rPr>
      </w:pPr>
      <w:r>
        <w:rPr>
          <w:noProof/>
          <w:sz w:val="28"/>
          <w:szCs w:val="28"/>
        </w:rPr>
        <w:drawing>
          <wp:inline distT="0" distB="0" distL="0" distR="0" wp14:anchorId="7E04D6CC" wp14:editId="1743A52D">
            <wp:extent cx="5731510" cy="2089150"/>
            <wp:effectExtent l="0" t="0" r="2540" b="6350"/>
            <wp:docPr id="1955072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72413" name="Picture 1955072413"/>
                    <pic:cNvPicPr/>
                  </pic:nvPicPr>
                  <pic:blipFill>
                    <a:blip r:embed="rId9">
                      <a:extLst>
                        <a:ext uri="{28A0092B-C50C-407E-A947-70E740481C1C}">
                          <a14:useLocalDpi xmlns:a14="http://schemas.microsoft.com/office/drawing/2010/main" val="0"/>
                        </a:ext>
                      </a:extLst>
                    </a:blip>
                    <a:stretch>
                      <a:fillRect/>
                    </a:stretch>
                  </pic:blipFill>
                  <pic:spPr>
                    <a:xfrm>
                      <a:off x="0" y="0"/>
                      <a:ext cx="5731510" cy="2089150"/>
                    </a:xfrm>
                    <a:prstGeom prst="rect">
                      <a:avLst/>
                    </a:prstGeom>
                  </pic:spPr>
                </pic:pic>
              </a:graphicData>
            </a:graphic>
          </wp:inline>
        </w:drawing>
      </w:r>
    </w:p>
    <w:sectPr w:rsidR="00F83652" w:rsidRPr="00682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4255"/>
    <w:multiLevelType w:val="multilevel"/>
    <w:tmpl w:val="09A8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D469E"/>
    <w:multiLevelType w:val="hybridMultilevel"/>
    <w:tmpl w:val="98BA9A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21667596">
    <w:abstractNumId w:val="0"/>
  </w:num>
  <w:num w:numId="2" w16cid:durableId="37023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E8"/>
    <w:rsid w:val="00142AAC"/>
    <w:rsid w:val="001F742D"/>
    <w:rsid w:val="002948C5"/>
    <w:rsid w:val="00682CE8"/>
    <w:rsid w:val="006A4A36"/>
    <w:rsid w:val="00F83652"/>
    <w:rsid w:val="00FF7B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32E1"/>
  <w15:chartTrackingRefBased/>
  <w15:docId w15:val="{766D66AB-A22A-44EF-8753-B298645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normal">
    <w:name w:val="whitespace-normal"/>
    <w:basedOn w:val="Normal"/>
    <w:rsid w:val="00682CE8"/>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ListParagraph">
    <w:name w:val="List Paragraph"/>
    <w:basedOn w:val="Normal"/>
    <w:uiPriority w:val="34"/>
    <w:qFormat/>
    <w:rsid w:val="00142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Tấn Xuân</dc:creator>
  <cp:keywords/>
  <dc:description/>
  <cp:lastModifiedBy>Tấn Xuân</cp:lastModifiedBy>
  <cp:revision>1</cp:revision>
  <dcterms:created xsi:type="dcterms:W3CDTF">2023-10-06T17:24:00Z</dcterms:created>
  <dcterms:modified xsi:type="dcterms:W3CDTF">2023-10-06T17:51:00Z</dcterms:modified>
</cp:coreProperties>
</file>